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校级一流本科课程等课程类项目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验收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textAlignment w:val="auto"/>
        <w:rPr>
          <w:rFonts w:ascii="仿宋_GB2312" w:hAnsi="微软雅黑" w:eastAsia="仿宋_GB2312" w:cs="仿宋_GB2312"/>
          <w:sz w:val="20"/>
          <w:szCs w:val="2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/>
        <w:textAlignment w:val="auto"/>
        <w:rPr>
          <w:rFonts w:hint="eastAsia" w:ascii="仿宋_GB2312" w:hAnsi="微软雅黑" w:eastAsia="仿宋_GB2312" w:cs="仿宋_GB2312"/>
          <w:sz w:val="32"/>
          <w:szCs w:val="32"/>
        </w:rPr>
      </w:pPr>
      <w:r>
        <w:rPr>
          <w:rFonts w:ascii="仿宋_GB2312" w:hAnsi="微软雅黑" w:eastAsia="仿宋_GB2312" w:cs="仿宋_GB2312"/>
          <w:sz w:val="32"/>
          <w:szCs w:val="32"/>
        </w:rPr>
        <w:t>为进一步加强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一流本科课程等</w:t>
      </w:r>
      <w:r>
        <w:rPr>
          <w:rFonts w:ascii="仿宋_GB2312" w:hAnsi="微软雅黑" w:eastAsia="仿宋_GB2312" w:cs="仿宋_GB2312"/>
          <w:sz w:val="32"/>
          <w:szCs w:val="32"/>
        </w:rPr>
        <w:t>课程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类项目</w:t>
      </w:r>
      <w:r>
        <w:rPr>
          <w:rFonts w:ascii="仿宋_GB2312" w:hAnsi="微软雅黑" w:eastAsia="仿宋_GB2312" w:cs="仿宋_GB2312"/>
          <w:sz w:val="32"/>
          <w:szCs w:val="32"/>
        </w:rPr>
        <w:t>的建设、应用与管理，推动建课与用课相结合，加快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我校</w:t>
      </w:r>
      <w:r>
        <w:rPr>
          <w:rFonts w:ascii="仿宋_GB2312" w:hAnsi="微软雅黑" w:eastAsia="仿宋_GB2312" w:cs="仿宋_GB2312"/>
          <w:sz w:val="32"/>
          <w:szCs w:val="32"/>
        </w:rPr>
        <w:t>本科课程建设，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微软雅黑" w:eastAsia="仿宋_GB2312" w:cs="仿宋_GB2312"/>
          <w:sz w:val="32"/>
          <w:szCs w:val="32"/>
        </w:rPr>
        <w:t>决定开展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校级一流本科课程等课程类建设项目的</w:t>
      </w:r>
      <w:r>
        <w:rPr>
          <w:rFonts w:hint="eastAsia" w:ascii="仿宋_GB2312" w:hAnsi="微软雅黑" w:eastAsia="仿宋_GB2312" w:cs="仿宋_GB2312"/>
          <w:sz w:val="32"/>
          <w:szCs w:val="32"/>
        </w:rPr>
        <w:t>验收</w:t>
      </w:r>
      <w:r>
        <w:rPr>
          <w:rFonts w:hint="eastAsia" w:ascii="仿宋_GB2312" w:hAnsi="微软雅黑" w:eastAsia="仿宋_GB2312" w:cs="仿宋_GB2312"/>
          <w:sz w:val="32"/>
          <w:szCs w:val="32"/>
          <w:lang w:val="en-US" w:eastAsia="zh-CN"/>
        </w:rPr>
        <w:t>结项</w:t>
      </w:r>
      <w:r>
        <w:rPr>
          <w:rFonts w:hint="eastAsia" w:ascii="仿宋_GB2312" w:hAnsi="微软雅黑" w:eastAsia="仿宋_GB2312" w:cs="仿宋_GB2312"/>
          <w:sz w:val="32"/>
          <w:szCs w:val="32"/>
        </w:rPr>
        <w:t>工作，现将相关事宜通知如下：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/>
        <w:jc w:val="left"/>
        <w:textAlignment w:val="auto"/>
      </w:pP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一、</w:t>
      </w: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验收</w:t>
      </w: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范围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2020年度、2021年度立项的一流本科课程及申请延期的校级金课、在线开放课程等项目（具体名单见附件1）。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验收要求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校级一流本科课程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达到省级一流本科课程要求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校级金课、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在线开放课程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等建设项目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验收依据为《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省级在线开放课程建设标准（试行）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》（附件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 w:firstLineChars="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  <w:t>验收程序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1.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课程负责人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分别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填写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《浙江音乐学院一流本科课程项目验收表》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《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浙江音乐学院在线开放课程项目验收表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》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等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（附件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3-6）后，报所在教学单位审核。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2.所在教学单位审核确认后，填写《浙江音乐学院一流本科课程等建设项目验收汇总表》（附件7）。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3.根据实际需要，须变更项目负责人或申请项目延期的课程，请填写《浙江音乐学院课程项目重要事项变更说明》（附件8）。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default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4.教务处将组织专家进行审核，对于验收不合格的课程，教务处将加强过程考核、限期整改等。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 w:firstLineChars="0"/>
        <w:jc w:val="left"/>
        <w:textAlignment w:val="auto"/>
        <w:rPr>
          <w:rFonts w:ascii="黑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其他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1.2020年度立项及申请延期的校级课程类项目均需于12月底前申请结题，并将课题经费预算按照课题经费使用有关规定执行完成，逾期学校将收回课题经费。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2.2021年度立项的校级课程类项目逾期未能完成任务者，请填写《浙江音乐学院教学项目重要事项变更表》（附件7），最多申请延期1年，若无故中止立项课题的研究,将取消其今后两年内申报校级本科教学项目的资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left"/>
        <w:textAlignment w:val="auto"/>
        <w:rPr>
          <w:rFonts w:hint="default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3.请各教学单位于12月9日前，将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《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浙江音乐学院在线开放课程项目验收表</w:t>
      </w:r>
      <w:r>
        <w:rPr>
          <w:rFonts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》</w:t>
      </w: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等（附件3-6，一式1份）《浙江音乐学院在线开放课程等建设项目验收汇总表》（附件7，一式1份）交至行政楼501办公室。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280" w:right="0" w:rightChars="0" w:hanging="1280" w:hangingChars="4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附件：1.浙江音乐学院校级一流本科课程及延期课程一览表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2.省级在线开放课程建设标准（试行）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278" w:leftChars="456" w:right="0" w:rightChars="0" w:hanging="320" w:hangingChars="1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3.浙江音乐学院一流本科课程（线上、混合式）项目验收表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4.浙江音乐学院一流本科课程（线下）项目验收表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5.浙江音乐学院金课项目验收表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278" w:leftChars="456" w:right="0" w:rightChars="0" w:hanging="320" w:hangingChars="100"/>
        <w:jc w:val="left"/>
        <w:textAlignment w:val="auto"/>
        <w:rPr>
          <w:rFonts w:hint="default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6.浙江音乐学院在线开放课程项目验收表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278" w:leftChars="456" w:right="0" w:rightChars="0" w:hanging="320" w:hangingChars="1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7.浙江音乐学院一流本科课程等课程类项目验收汇总表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8.浙江音乐学院课程项目重要事项变更说明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960" w:firstLineChars="3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80" w:firstLineChars="19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教务处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5440" w:firstLineChars="170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  <w:t>2022年11月28日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仿宋_GB2312" w:hAnsi="微软雅黑" w:eastAsia="仿宋_GB2312" w:cs="仿宋_GB2312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D7BA5"/>
    <w:multiLevelType w:val="singleLevel"/>
    <w:tmpl w:val="529D7BA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jODFlYjEyZTA1MDQxMjk2OWI5NTNlOGQyMzc0OTUifQ=="/>
  </w:docVars>
  <w:rsids>
    <w:rsidRoot w:val="5B0D3256"/>
    <w:rsid w:val="01120191"/>
    <w:rsid w:val="03B46F01"/>
    <w:rsid w:val="1F000206"/>
    <w:rsid w:val="36504747"/>
    <w:rsid w:val="42C46A43"/>
    <w:rsid w:val="446D6187"/>
    <w:rsid w:val="45AF488B"/>
    <w:rsid w:val="50323E68"/>
    <w:rsid w:val="5B0D3256"/>
    <w:rsid w:val="5BE241AA"/>
    <w:rsid w:val="5E187E4A"/>
    <w:rsid w:val="64C777C3"/>
    <w:rsid w:val="69555C03"/>
    <w:rsid w:val="6B3B77FC"/>
    <w:rsid w:val="7F6A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000000"/>
      <w:u w:val="none"/>
    </w:rPr>
  </w:style>
  <w:style w:type="character" w:styleId="7">
    <w:name w:val="Hyperlink"/>
    <w:basedOn w:val="4"/>
    <w:qFormat/>
    <w:uiPriority w:val="0"/>
    <w:rPr>
      <w:color w:val="000000"/>
      <w:u w:val="none"/>
    </w:rPr>
  </w:style>
  <w:style w:type="paragraph" w:customStyle="1" w:styleId="8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927</Characters>
  <Lines>0</Lines>
  <Paragraphs>0</Paragraphs>
  <TotalTime>236</TotalTime>
  <ScaleCrop>false</ScaleCrop>
  <LinksUpToDate>false</LinksUpToDate>
  <CharactersWithSpaces>927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2021-09-27T06:59:00Z</dcterms:created>
  <dc:creator>可心</dc:creator>
  <cp:lastModifiedBy>全小歪</cp:lastModifiedBy>
  <cp:lastPrinted>2022-11-25T02:19:00Z</cp:lastPrinted>
  <dcterms:modified xsi:type="dcterms:W3CDTF">2022-11-28T06:44:14Z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BE60843D5DC44DC8ABBD7915E7E50794</vt:lpwstr>
  </property>
</Properties>
</file>