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80" w:lineRule="exact"/>
        <w:rPr>
          <w:rFonts w:hint="eastAsia" w:ascii="黑体" w:hAnsi="黑体" w:eastAsia="黑体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bookmarkStart w:id="0" w:name="_GoBack"/>
      <w:bookmarkEnd w:id="0"/>
    </w:p>
    <w:p>
      <w:pPr>
        <w:snapToGrid w:val="0"/>
        <w:spacing w:line="580" w:lineRule="exact"/>
        <w:jc w:val="center"/>
        <w:rPr>
          <w:rFonts w:ascii="黑体" w:hAnsi="黑体" w:eastAsia="黑体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省级精品在线开放课程建设标准（试行）</w:t>
      </w:r>
    </w:p>
    <w:p>
      <w:pPr>
        <w:snapToGrid w:val="0"/>
        <w:spacing w:line="580" w:lineRule="exact"/>
        <w:ind w:firstLine="720"/>
        <w:jc w:val="center"/>
        <w:rPr>
          <w:rFonts w:ascii="黑体" w:hAnsi="黑体" w:eastAsia="黑体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580" w:lineRule="exact"/>
        <w:ind w:firstLine="720"/>
        <w:rPr>
          <w:rFonts w:ascii="黑体" w:hAnsi="黑体" w:eastAsia="黑体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课程建设总体要求</w:t>
      </w:r>
    </w:p>
    <w:p>
      <w:pPr>
        <w:snapToGrid w:val="0"/>
        <w:spacing w:line="580" w:lineRule="exact"/>
        <w:ind w:firstLine="640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1. 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内容与资源。根据预设教学目标、学科特点、学生认知规律及教学方式，围绕学科核心概念及教学内容和资源间关系，碎片化组织教学内容及资源、设置教学情境，形成围绕知识点展开、清晰表达知识框架的短视频模块集。每个短视频以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5-15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钟时长为宜，针对各模块知识点或专题应设置内嵌测试的作业题或讨论题，以帮助学习者掌握学习内容或测试学习者学习效果。每门课程应有负责人介绍、课程介绍、教学大纲、预备知识、教学辅导、参考资料、考核方式、在线作业、在线题库和在线答疑等。课程设置应与本校课堂教学的要求相当。</w:t>
      </w:r>
    </w:p>
    <w:p>
      <w:pPr>
        <w:snapToGrid w:val="0"/>
        <w:spacing w:line="580" w:lineRule="exact"/>
        <w:ind w:firstLine="640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设计与方法。要遵循有效教学的基本规律，结合在线开放课程教学的特征与需求进行整体的教学设计。围绕教学目标精心设计教学活动，科学规划在线学习资源，明确学业评价策略和学习激励措施。课程设计、教学安排和呈现方式符合学习者移动学习和混合式教学的需求。开展在线学习与课堂教学相结合、翻转课堂等多种方式的课堂教学模式，优先支持具有混合式学习等改革实践经验的课程。</w:t>
      </w:r>
    </w:p>
    <w:p>
      <w:pPr>
        <w:spacing w:line="580" w:lineRule="exact"/>
        <w:ind w:firstLine="640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3. 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教学活动与评价。要重视学习任务与活动设计，积极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开展案例式、混合式、探究式等多种教学模式的学习，通过网页插入式在线测试、即时网上辅导反馈、线上线下讨论、网上作业提交和批改、网上社区讨论等，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促进师生之间、学生之间进行资源共享、问题交流和协作学习。</w:t>
      </w:r>
    </w:p>
    <w:p>
      <w:pPr>
        <w:spacing w:line="580" w:lineRule="exact"/>
        <w:ind w:firstLine="640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建立多元化学习评价体系，探索线上和线下融合，过程性评价与终结性评价相结合的多元化考核评价模式，促进学生自主性学习、过程性学习和体验式学习。课程成绩由过程性考核和终结性考核综合评定。</w:t>
      </w:r>
    </w:p>
    <w:p>
      <w:pPr>
        <w:spacing w:line="580" w:lineRule="exact"/>
        <w:ind w:firstLine="640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教学效果与影响。要注重对教学效果的跟踪评价并开展教学研究工作。基于大数据信息采集分析，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全程记录和跟踪教师的教学和学生的学习过程、内容、反馈，全面跟踪和掌握每个学生的个性特点、学习行为，改进学校及教师的教学质量，促进因材施教。</w:t>
      </w:r>
    </w:p>
    <w:p>
      <w:pPr>
        <w:snapToGrid w:val="0"/>
        <w:spacing w:line="580" w:lineRule="exact"/>
        <w:ind w:firstLine="640"/>
        <w:rPr>
          <w:rFonts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充分发挥课程共享作用，推进在线开放课程学分认定和学分管理制度创新。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支持各高校之间在合作、共赢、协议的基础上实现在线开放共享课程的互认。课程的初始学分由推荐该课程的高校设定，其它高校可在双方协议的基础上，根据本校专业设置和课程学分设置标准自行认定学分。</w:t>
      </w:r>
    </w:p>
    <w:p>
      <w:pPr>
        <w:snapToGrid w:val="0"/>
        <w:spacing w:line="580" w:lineRule="exact"/>
        <w:ind w:firstLine="640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团队支持与服务。课程建设负责人应为高校正式聘用，具有丰富的教学经验和较高的学术造诣的教师，课程组成员均在教学一线长期承担本课程教学任务。支持和鼓励教学名师、知名专家主讲开放课程。除主讲教师外，还需配备必要助理教师和现代教育技术人员，能长期在线服务课程建设，承担课程内容更新、在线辅导、答疑等。课程正式运行后，能保证每学年都对外校开放。课程团队应负责课程相关教师的培训及教学研讨工作。通过在线开放课程建设，形成一支教学、辅导、设计和技术支持等结构合理、人员稳定、教学水平高、教学效果好、资源设计和制作能力强的优秀课程教学团队。</w:t>
      </w:r>
    </w:p>
    <w:p>
      <w:pPr>
        <w:snapToGrid w:val="0"/>
        <w:spacing w:line="580" w:lineRule="exact"/>
        <w:ind w:firstLine="480" w:firstLineChars="150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6. 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信息安全及知识产权保障。严格遵守国家网络与信息安全管理规范，依法依规开展教学活动，实施对课程内容、讨论内容、学习过程内容的有效监管，防范和及时制止网络有害信息的传播。重视版权和知识产权问题，构建课程内容所使用的图片、音视频等素材应注明出处。相关高校、课程建设团队均须签订平等互利的知识产权保障协议，明确各方权利和义务，切实保障各方权益。</w:t>
      </w:r>
    </w:p>
    <w:p>
      <w:pPr>
        <w:snapToGrid w:val="0"/>
        <w:spacing w:line="580" w:lineRule="exact"/>
        <w:ind w:firstLine="640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二、课程视频制作规范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（一）视频内容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1.屏幕图像的构图合理，画面主体突出。人像及肢体动作以及配合讲授选用的板书、画板、教具实物、模型和实验设备等均不能超出镜头所及范围。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2.演播室使用的背景采用彩色喷绘或电脑虚拟、实景等背景。建议采用彩色喷绘背景。背景的颜色、图案不易过多，应保持静态，画面应简洁、明快，有利于营造课堂气氛。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3.摄像镜头应保持与主讲教师目光平视的角度。主讲教师不应较长时间仰视或俯视。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4.使用资料、图片、外景实拍、实验和表演等形象化教学手段，应符合教学内容要求，与讲授内容联系紧密，手段选用恰当。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5.选用影视作品或自拍素材，应注明素材来源。影视作品或自拍素材中涉及人物访谈内容时，除应加注人物介绍外，还应采用滚动式同声字幕。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6.选用的资料、图片等素材画面应清楚，对于历史资料、图片应进行再加工。选用的资料、图片等素材应注明素材来源及原始信息（如字画的作品、生卒年月，影视片断的作品名称、创作年代等信息）。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7.动画的设计与使用，要与课程内容相贴切，能够发挥良好的教学效果。</w:t>
      </w:r>
    </w:p>
    <w:p>
      <w:pPr>
        <w:spacing w:line="580" w:lineRule="exact"/>
        <w:ind w:firstLine="480" w:firstLineChars="15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8.动画的实现须流畅、合理、图像清晰，具有较强的可视性。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（二）视频技术规格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1.视频信号源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（1）稳定性：全片图像同步性能稳定，无失步现象，CTL同步控制信号必须连续：图像无抖动跳跃，色彩无突变，编辑点处图像稳定。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（2）信噪比：图像信噪比不低于55dB，无明显杂波。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（3）色调：白平衡正确，无明显偏色，多机拍摄的镜头衔接处无明显色差。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（4）视频电平：视频全讯号幅度为1Ⅴp-p，最大不超过1.1Ⅴ p-p。其中，消隐电平为0V时，白电平幅度0.7Ⅴp-p，同步信号-0.3V，色同步信号幅度0.3V p-p (以消隐线上下对称)，全片一致。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2.音频信号源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（1）声道：中文内容音频信号记录于第1声道，音乐、音效、同期声记录于第2声道，若有其他文字解说记录于第3声道(如录音设备无第3声道,则录于第2声道)。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（2）电平指标：-2db —— -8db声音应无明显失真、放音过冲、过弱。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（3）音频信噪比不低于48db。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（4）声音和画面要求同步，无交流声或其他杂音等缺陷。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（5）伴音清晰、饱满、圆润，无失真、噪声杂音干扰、音量忽大忽小现象。解说声与现场声无明显比例失调，解说声与背景音乐无明显比例失调。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3.视频压缩格式及技术参数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（1）视频压缩采用H.264/AVC (MPEG-4 Part10)编码、使用二次编码、不包含字幕的MP4格式。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（2）视频码流率：动态码流的最低码率不得低于1024Kb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（3）视频分辨率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前期采用标清4:3拍摄时，请设定为 720×576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前期采用高清16:9拍摄时，请设定为 1280×720或1920×1080。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（4）视频画幅宽高比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分辨率设定为 720×576的，请选定 4:3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分辨率设定为1280×720或1920×1080的，请选定 16:9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（5）视频帧率为25帧/秒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（6）扫描方式采用逐行扫描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4.音频压缩格式及技术参数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（1）音频压缩采用AAC(MPEG4 Part3)格式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（2）采样率48KHz 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（3）音频码流率128Kbps (恒定)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（4）必须是双声道，必须做混音处理。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5.封装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采用MP4封装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（三）演示文稿（PPT）制作规范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1.制作原则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（1）演示文稿（PPT）要求集文字、图形、图像、声音以及视频等多种媒体元素于一体，一般不使用纯文字的演示文稿（PPT）。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（2）页面设置要求符合高清格式比例，幻灯片大小为“全屏显示16：9”。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（3）整体效果应风格统一、色彩协调、美观大方。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2.字体与字号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字体与字号参照下表：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tbl>
      <w:tblPr>
        <w:tblStyle w:val="4"/>
        <w:tblpPr w:leftFromText="180" w:rightFromText="180" w:vertAnchor="text" w:horzAnchor="margin" w:tblpX="250" w:tblpY="213"/>
        <w:tblW w:w="83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701"/>
        <w:gridCol w:w="1275"/>
        <w:gridCol w:w="1560"/>
        <w:gridCol w:w="1559"/>
        <w:gridCol w:w="13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华文仿宋" w:eastAsia="仿宋_GB2312"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华文仿宋" w:eastAsia="仿宋_GB2312"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大标题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华文仿宋" w:eastAsia="仿宋_GB2312"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主讲信息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华文仿宋" w:eastAsia="仿宋_GB2312"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一级标题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华文仿宋" w:eastAsia="仿宋_GB2312"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正文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华文仿宋" w:eastAsia="仿宋_GB2312"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字幕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华文仿宋" w:eastAsia="仿宋_GB2312"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字体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华文仿宋" w:eastAsia="仿宋_GB2312"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大黑、时尚中黑、大隶书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华文仿宋" w:eastAsia="仿宋_GB2312"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黑体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华文仿宋" w:eastAsia="仿宋_GB2312"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黑体、魏碑、大宋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华文仿宋" w:eastAsia="仿宋_GB2312"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雅黑、中宋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华文仿宋" w:eastAsia="仿宋_GB2312"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雅黑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华文仿宋" w:eastAsia="仿宋_GB2312"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字号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华文仿宋" w:eastAsia="仿宋_GB2312"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50～70磅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华文仿宋" w:eastAsia="仿宋_GB2312"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36～40磅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华文仿宋" w:eastAsia="仿宋_GB2312"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36～40磅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华文仿宋" w:eastAsia="仿宋_GB2312"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24～32磅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华文仿宋" w:eastAsia="仿宋_GB2312"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32磅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华文仿宋" w:eastAsia="仿宋_GB2312"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华文仿宋" w:eastAsia="仿宋_GB2312"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上下左右居中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华文仿宋" w:eastAsia="仿宋_GB2312"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左右居中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华文仿宋" w:eastAsia="仿宋_GB2312"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左右居中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左对齐</w:t>
            </w:r>
          </w:p>
          <w:p>
            <w:pPr>
              <w:spacing w:line="580" w:lineRule="exact"/>
              <w:jc w:val="center"/>
              <w:rPr>
                <w:rFonts w:ascii="仿宋_GB2312" w:hAnsi="华文仿宋" w:eastAsia="仿宋_GB2312"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或居中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仿宋_GB2312" w:hAnsi="华文仿宋" w:eastAsia="仿宋_GB2312"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左右居中</w:t>
            </w:r>
          </w:p>
        </w:tc>
      </w:tr>
    </w:tbl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:u w:color="00000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3.版心与版式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每页四周留出空白，应避免内容顶到页面边缘，边界安全区域分别为左、右130像素内，上、下90像素内。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4.背景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（1）背景色以简洁适中饱和度为主（颜色保持在一至两种色系内）；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（2）背景和场景不宜变化过多；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（3）文字、图形等内容应与背景对比醒目。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5.色调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（1）色彩的选配应与课程科目相吻合；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（2）每一短视频或一系列短视频在配色上应体现出系统性，可选一种主色调再加上一至两种辅助色进行匹配；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（3）同一屏里文字不宜超出三种颜色。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6.字距与行距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（1）标题：在文字少的情形下，字距放宽一倍体现舒展性；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（2）正文：行距使用1行或1.5行，便于阅读。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7.图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（1）图像应清晰并能反映出内容主题思想，分辨率应上72dpi以上；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（2）图片不可加长或压窄，防止变形；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（3）图形使用应通俗易懂，便于理解。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8.修饰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（1）细线条的运用比粗线条更显精致；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（2）扁平式的装饰更接近时代审美；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（3）有趣味的装饰通常更能吸引人。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9.版权来源</w:t>
      </w:r>
    </w:p>
    <w:p>
      <w:pPr>
        <w:spacing w:line="580" w:lineRule="exact"/>
        <w:ind w:firstLine="640"/>
        <w:rPr>
          <w:rFonts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素材选用注意版权，涉及版权问题须加入“版权来源”信息。</w:t>
      </w:r>
    </w:p>
    <w:p>
      <w:pPr>
        <w:spacing w:line="580" w:lineRule="exact"/>
        <w:ind w:firstLine="64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widowControl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1928" w:right="1531" w:bottom="1928" w:left="1531" w:header="851" w:footer="1247" w:gutter="0"/>
          <w:pgNumType w:fmt="numberInDash"/>
          <w:cols w:space="425" w:num="1"/>
          <w:docGrid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82704681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1 -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9F7304"/>
    <w:rsid w:val="309F7304"/>
    <w:rsid w:val="6D535020"/>
    <w:rsid w:val="7FAE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2018-11-23T06:48:00Z</dcterms:created>
  <dc:creator>可心</dc:creator>
  <cp:lastModifiedBy>可心</cp:lastModifiedBy>
  <dcterms:modified xsi:type="dcterms:W3CDTF">2018-11-23T07:08:37Z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