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</w:pP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关于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  <w:lang w:val="en-US" w:eastAsia="zh-CN"/>
        </w:rPr>
        <w:t>开展2024年度教材质量</w:t>
      </w:r>
      <w:r>
        <w:rPr>
          <w:rFonts w:hint="eastAsia" w:ascii="方正公文小标宋" w:hAnsi="方正公文小标宋" w:eastAsia="方正公文小标宋" w:cs="方正公文小标宋"/>
          <w:bCs/>
          <w:sz w:val="44"/>
          <w:szCs w:val="44"/>
        </w:rPr>
        <w:t>评价的通知</w:t>
      </w:r>
    </w:p>
    <w:p>
      <w:pPr>
        <w:spacing w:line="560" w:lineRule="exact"/>
        <w:jc w:val="center"/>
        <w:rPr>
          <w:rFonts w:ascii="Times New Roman" w:hAnsi="Times New Roman" w:eastAsia="方正小标宋简体" w:cs="方正小标宋简体"/>
          <w:bCs/>
          <w:sz w:val="36"/>
          <w:szCs w:val="28"/>
        </w:rPr>
      </w:pP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Times New Roman" w:hAnsi="Times New Roman" w:eastAsia="仿宋" w:cs="宋体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仿宋" w:cs="宋体"/>
          <w:kern w:val="0"/>
          <w:sz w:val="32"/>
          <w:szCs w:val="32"/>
        </w:rPr>
        <w:t>为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进一步加强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学校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教材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使用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和管理工作，</w:t>
      </w:r>
      <w:r>
        <w:rPr>
          <w:rFonts w:hint="default" w:ascii="Times New Roman" w:hAnsi="Times New Roman" w:eastAsia="仿宋" w:cs="宋体"/>
          <w:kern w:val="0"/>
          <w:sz w:val="32"/>
          <w:szCs w:val="32"/>
        </w:rPr>
        <w:t>全面提升教材使用质量和课程实施效果，</w:t>
      </w:r>
      <w:r>
        <w:rPr>
          <w:rFonts w:ascii="Times New Roman" w:hAnsi="Times New Roman" w:eastAsia="仿宋" w:cs="仿宋"/>
          <w:i w:val="0"/>
          <w:iCs w:val="0"/>
          <w:caps w:val="0"/>
          <w:color w:val="000000"/>
          <w:spacing w:val="12"/>
          <w:sz w:val="31"/>
          <w:szCs w:val="31"/>
        </w:rPr>
        <w:t>根据《教育部办公厅关于开展课程实施与教材使用监测工作的通知</w:t>
      </w:r>
      <w:r>
        <w:rPr>
          <w:rFonts w:hint="eastAsia" w:ascii="Times New Roman" w:hAnsi="Times New Roman" w:eastAsia="仿宋" w:cs="仿宋"/>
          <w:i w:val="0"/>
          <w:iCs w:val="0"/>
          <w:caps w:val="0"/>
          <w:color w:val="000000"/>
          <w:spacing w:val="12"/>
          <w:sz w:val="31"/>
          <w:szCs w:val="31"/>
        </w:rPr>
        <w:t>》（教材厅函〔2023〕5号）</w:t>
      </w:r>
      <w:r>
        <w:rPr>
          <w:rFonts w:ascii="Times New Roman" w:hAnsi="Times New Roman" w:eastAsia="仿宋" w:cs="仿宋"/>
          <w:color w:val="000000"/>
          <w:kern w:val="0"/>
          <w:sz w:val="31"/>
          <w:szCs w:val="31"/>
          <w:lang w:val="en-US" w:eastAsia="zh-CN" w:bidi="ar"/>
        </w:rPr>
        <w:t>《浙江省教育厅办公室关于开展普通本科高校教材</w:t>
      </w:r>
      <w:r>
        <w:rPr>
          <w:rFonts w:hint="eastAsia" w:ascii="Times New Roman" w:hAnsi="Times New Roman" w:eastAsia="仿宋" w:cs="仿宋"/>
          <w:color w:val="000000"/>
          <w:kern w:val="0"/>
          <w:sz w:val="31"/>
          <w:szCs w:val="31"/>
          <w:lang w:val="en-US" w:eastAsia="zh-CN" w:bidi="ar"/>
        </w:rPr>
        <w:t>使用监测工作的通知》（浙教办函〔2023〕360号）</w:t>
      </w:r>
      <w:r>
        <w:rPr>
          <w:rFonts w:ascii="Times New Roman" w:hAnsi="Times New Roman" w:eastAsia="仿宋_GB2312" w:cs="仿宋_GB2312"/>
          <w:color w:val="000000"/>
          <w:kern w:val="0"/>
          <w:sz w:val="31"/>
          <w:szCs w:val="31"/>
          <w:lang w:val="en-US" w:eastAsia="zh-CN" w:bidi="ar"/>
        </w:rPr>
        <w:t>文件</w:t>
      </w:r>
      <w:r>
        <w:rPr>
          <w:rFonts w:hint="eastAsia" w:ascii="Times New Roman" w:hAnsi="Times New Roman" w:eastAsia="仿宋" w:cs="仿宋"/>
          <w:color w:val="000000"/>
          <w:kern w:val="0"/>
          <w:sz w:val="31"/>
          <w:szCs w:val="31"/>
          <w:lang w:val="en-US" w:eastAsia="zh-CN" w:bidi="ar"/>
        </w:rPr>
        <w:t>要求</w:t>
      </w:r>
      <w:r>
        <w:rPr>
          <w:rFonts w:hint="default" w:ascii="Times New Roman" w:hAnsi="Times New Roman" w:eastAsia="仿宋" w:cs="宋体"/>
          <w:kern w:val="0"/>
          <w:sz w:val="32"/>
          <w:szCs w:val="32"/>
        </w:rPr>
        <w:t>现就做好2024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年度学校</w:t>
      </w:r>
      <w:r>
        <w:rPr>
          <w:rFonts w:hint="default" w:ascii="Times New Roman" w:hAnsi="Times New Roman" w:eastAsia="仿宋" w:cs="宋体"/>
          <w:kern w:val="0"/>
          <w:sz w:val="32"/>
          <w:szCs w:val="32"/>
        </w:rPr>
        <w:t>教材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质量评价</w:t>
      </w:r>
      <w:r>
        <w:rPr>
          <w:rFonts w:hint="default" w:ascii="Times New Roman" w:hAnsi="Times New Roman" w:eastAsia="仿宋" w:cs="宋体"/>
          <w:kern w:val="0"/>
          <w:sz w:val="32"/>
          <w:szCs w:val="32"/>
        </w:rPr>
        <w:t>有关事项通知如下</w:t>
      </w:r>
      <w:r>
        <w:rPr>
          <w:rFonts w:hint="eastAsia" w:eastAsia="仿宋" w:cs="宋体"/>
          <w:kern w:val="0"/>
          <w:sz w:val="32"/>
          <w:szCs w:val="32"/>
          <w:lang w:eastAsia="zh-CN"/>
        </w:rPr>
        <w:t>：</w:t>
      </w:r>
      <w:bookmarkStart w:id="0" w:name="_GoBack"/>
      <w:bookmarkEnd w:id="0"/>
    </w:p>
    <w:p>
      <w:pPr>
        <w:widowControl/>
        <w:numPr>
          <w:ilvl w:val="0"/>
          <w:numId w:val="1"/>
        </w:numPr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kern w:val="0"/>
          <w:sz w:val="32"/>
          <w:szCs w:val="32"/>
        </w:rPr>
      </w:pPr>
      <w:r>
        <w:rPr>
          <w:rFonts w:hint="eastAsia" w:ascii="Times New Roman" w:hAnsi="Times New Roman" w:eastAsia="黑体" w:cs="宋体"/>
          <w:kern w:val="0"/>
          <w:sz w:val="32"/>
          <w:szCs w:val="32"/>
        </w:rPr>
        <w:t>评价时间</w:t>
      </w:r>
    </w:p>
    <w:p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ascii="Times New Roman" w:hAnsi="Times New Roman" w:eastAsia="仿宋" w:cs="宋体"/>
          <w:kern w:val="0"/>
          <w:sz w:val="32"/>
          <w:szCs w:val="32"/>
        </w:rPr>
      </w:pPr>
      <w:r>
        <w:rPr>
          <w:rFonts w:hint="eastAsia" w:ascii="Times New Roman" w:hAnsi="Times New Roman" w:eastAsia="仿宋" w:cs="宋体"/>
          <w:kern w:val="0"/>
          <w:sz w:val="32"/>
          <w:szCs w:val="32"/>
        </w:rPr>
        <w:t>202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年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月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28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日9:00—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5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月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11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日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19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:00</w:t>
      </w:r>
    </w:p>
    <w:p>
      <w:pPr>
        <w:widowControl/>
        <w:numPr>
          <w:ilvl w:val="0"/>
          <w:numId w:val="1"/>
        </w:numPr>
        <w:snapToGrid w:val="0"/>
        <w:spacing w:line="560" w:lineRule="exact"/>
        <w:ind w:left="0" w:leftChars="0" w:right="26" w:firstLine="640" w:firstLineChars="200"/>
        <w:rPr>
          <w:rFonts w:hint="eastAsia" w:ascii="Times New Roman" w:hAnsi="Times New Roman" w:eastAsia="黑体" w:cs="宋体"/>
          <w:kern w:val="0"/>
          <w:sz w:val="32"/>
          <w:szCs w:val="32"/>
        </w:rPr>
      </w:pPr>
      <w:r>
        <w:rPr>
          <w:rFonts w:hint="eastAsia" w:ascii="Times New Roman" w:hAnsi="Times New Roman" w:eastAsia="黑体" w:cs="宋体"/>
          <w:kern w:val="0"/>
          <w:sz w:val="32"/>
          <w:szCs w:val="32"/>
        </w:rPr>
        <w:t>评价对象</w:t>
      </w:r>
    </w:p>
    <w:p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hint="default" w:ascii="Times New Roman" w:hAnsi="Times New Roman" w:eastAsia="仿宋" w:cs="宋体"/>
          <w:kern w:val="0"/>
          <w:sz w:val="32"/>
          <w:szCs w:val="32"/>
          <w:lang w:val="en-US"/>
        </w:rPr>
      </w:pPr>
      <w:r>
        <w:rPr>
          <w:rFonts w:hint="eastAsia" w:ascii="Times New Roman" w:hAnsi="Times New Roman" w:eastAsia="仿宋" w:cs="宋体"/>
          <w:kern w:val="0"/>
          <w:sz w:val="32"/>
          <w:szCs w:val="32"/>
        </w:rPr>
        <w:t>本学期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各门课程使用的教材</w:t>
      </w:r>
    </w:p>
    <w:p>
      <w:pPr>
        <w:numPr>
          <w:ilvl w:val="0"/>
          <w:numId w:val="1"/>
        </w:numPr>
        <w:spacing w:line="560" w:lineRule="exact"/>
        <w:ind w:left="0" w:leftChars="0" w:firstLine="640" w:firstLineChars="200"/>
        <w:rPr>
          <w:rFonts w:hint="eastAsia" w:ascii="Times New Roman" w:hAnsi="Times New Roman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黑体" w:cs="宋体"/>
          <w:kern w:val="0"/>
          <w:sz w:val="32"/>
          <w:szCs w:val="32"/>
        </w:rPr>
        <w:t>参评</w:t>
      </w:r>
      <w:r>
        <w:rPr>
          <w:rFonts w:hint="eastAsia" w:ascii="Times New Roman" w:hAnsi="Times New Roman" w:eastAsia="黑体" w:cs="宋体"/>
          <w:kern w:val="0"/>
          <w:sz w:val="32"/>
          <w:szCs w:val="32"/>
          <w:lang w:val="en-US" w:eastAsia="zh-CN"/>
        </w:rPr>
        <w:t>人员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ascii="Times New Roman" w:hAnsi="Times New Roman" w:eastAsia="黑体" w:cs="宋体"/>
          <w:kern w:val="0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全日制普通本科学生</w:t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kern w:val="0"/>
          <w:sz w:val="32"/>
          <w:szCs w:val="32"/>
        </w:rPr>
      </w:pPr>
      <w:r>
        <w:rPr>
          <w:rFonts w:hint="eastAsia" w:ascii="Times New Roman" w:hAnsi="Times New Roman" w:eastAsia="黑体" w:cs="宋体"/>
          <w:kern w:val="0"/>
          <w:sz w:val="32"/>
          <w:szCs w:val="32"/>
        </w:rPr>
        <w:t>四、操作方法</w:t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楷体" w:cs="楷体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Times New Roman" w:hAnsi="Times New Roman" w:eastAsia="楷体" w:cs="楷体"/>
          <w:b w:val="0"/>
          <w:bCs w:val="0"/>
          <w:kern w:val="2"/>
          <w:sz w:val="32"/>
          <w:szCs w:val="32"/>
          <w:lang w:val="en-US" w:eastAsia="zh-CN" w:bidi="ar-SA"/>
        </w:rPr>
        <w:t>（一）移动端参评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1.</w:t>
      </w:r>
      <w:r>
        <w:rPr>
          <w:rFonts w:hint="eastAsia" w:ascii="Times New Roman" w:hAnsi="Times New Roman" w:eastAsia="仿宋_GB2312"/>
          <w:sz w:val="32"/>
          <w:szCs w:val="32"/>
        </w:rPr>
        <w:t>登录掌上浙音APP，在我的应用中找到【教评平台】，点击进入。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仿宋_GB2312"/>
          <w:sz w:val="32"/>
          <w:szCs w:val="32"/>
        </w:rPr>
        <w:t>进入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教评平台</w:t>
      </w:r>
      <w:r>
        <w:rPr>
          <w:rFonts w:hint="eastAsia" w:ascii="Times New Roman" w:hAnsi="Times New Roman" w:eastAsia="仿宋_GB2312"/>
          <w:sz w:val="32"/>
          <w:szCs w:val="32"/>
        </w:rPr>
        <w:t>后，首页【我的问卷】，点击具体任务进行评价。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/>
          <w:sz w:val="32"/>
          <w:szCs w:val="32"/>
        </w:rPr>
        <w:t>点击问卷后，在未完成一列会显示该学生本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次评价</w:t>
      </w:r>
      <w:r>
        <w:rPr>
          <w:rFonts w:hint="eastAsia" w:ascii="Times New Roman" w:hAnsi="Times New Roman" w:eastAsia="仿宋_GB2312"/>
          <w:sz w:val="32"/>
          <w:szCs w:val="32"/>
        </w:rPr>
        <w:t>应评的所有课程，点击相应课程即可进行评价。如果该门课程有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多本教材</w:t>
      </w:r>
      <w:r>
        <w:rPr>
          <w:rFonts w:hint="eastAsia" w:ascii="Times New Roman" w:hAnsi="Times New Roman" w:eastAsia="仿宋_GB2312"/>
          <w:sz w:val="32"/>
          <w:szCs w:val="32"/>
        </w:rPr>
        <w:t>，请对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教材</w:t>
      </w:r>
      <w:r>
        <w:rPr>
          <w:rFonts w:hint="eastAsia" w:ascii="Times New Roman" w:hAnsi="Times New Roman" w:eastAsia="仿宋_GB2312"/>
          <w:sz w:val="32"/>
          <w:szCs w:val="32"/>
        </w:rPr>
        <w:t>进行逐个评价，完成同一门课程的所有</w:t>
      </w:r>
      <w:r>
        <w:rPr>
          <w:rFonts w:hint="eastAsia" w:ascii="Times New Roman" w:hAnsi="Times New Roman" w:eastAsia="仿宋_GB2312"/>
          <w:sz w:val="32"/>
          <w:szCs w:val="32"/>
          <w:lang w:val="en-US" w:eastAsia="zh-CN"/>
        </w:rPr>
        <w:t>教材</w:t>
      </w:r>
      <w:r>
        <w:rPr>
          <w:rFonts w:hint="eastAsia" w:ascii="Times New Roman" w:hAnsi="Times New Roman" w:eastAsia="仿宋_GB2312"/>
          <w:sz w:val="32"/>
          <w:szCs w:val="32"/>
        </w:rPr>
        <w:t>评价后，即可进行下一门课程评价。</w:t>
      </w:r>
    </w:p>
    <w:p>
      <w:pPr>
        <w:numPr>
          <w:ilvl w:val="0"/>
          <w:numId w:val="0"/>
        </w:numPr>
        <w:spacing w:line="560" w:lineRule="exact"/>
        <w:ind w:firstLine="420" w:firstLineChars="200"/>
        <w:rPr>
          <w:rFonts w:hint="eastAsia" w:ascii="Times New Roman" w:hAnsi="Times New Roman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4311650</wp:posOffset>
            </wp:positionH>
            <wp:positionV relativeFrom="paragraph">
              <wp:posOffset>83185</wp:posOffset>
            </wp:positionV>
            <wp:extent cx="1635760" cy="3599815"/>
            <wp:effectExtent l="0" t="0" r="2540" b="635"/>
            <wp:wrapNone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-151130</wp:posOffset>
            </wp:positionH>
            <wp:positionV relativeFrom="paragraph">
              <wp:posOffset>-226060</wp:posOffset>
            </wp:positionV>
            <wp:extent cx="2314575" cy="3667125"/>
            <wp:effectExtent l="0" t="0" r="0" b="0"/>
            <wp:wrapNone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2148205</wp:posOffset>
            </wp:positionH>
            <wp:positionV relativeFrom="paragraph">
              <wp:posOffset>92710</wp:posOffset>
            </wp:positionV>
            <wp:extent cx="1588770" cy="3604895"/>
            <wp:effectExtent l="0" t="0" r="11430" b="1460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</w:rPr>
      </w:pPr>
    </w:p>
    <w:p>
      <w:pPr>
        <w:numPr>
          <w:ilvl w:val="0"/>
          <w:numId w:val="0"/>
        </w:numPr>
        <w:spacing w:line="560" w:lineRule="exact"/>
        <w:ind w:firstLine="42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1084580</wp:posOffset>
            </wp:positionH>
            <wp:positionV relativeFrom="paragraph">
              <wp:posOffset>10160</wp:posOffset>
            </wp:positionV>
            <wp:extent cx="1659255" cy="3599815"/>
            <wp:effectExtent l="0" t="0" r="7620" b="635"/>
            <wp:wrapNone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3474720</wp:posOffset>
            </wp:positionH>
            <wp:positionV relativeFrom="paragraph">
              <wp:posOffset>12700</wp:posOffset>
            </wp:positionV>
            <wp:extent cx="1814195" cy="3599815"/>
            <wp:effectExtent l="0" t="0" r="5080" b="63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4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Times New Roman" w:hAnsi="Times New Roman" w:eastAsia="仿宋_GB2312"/>
          <w:sz w:val="32"/>
          <w:szCs w:val="32"/>
          <w:lang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480" w:firstLineChars="200"/>
        <w:rPr>
          <w:rFonts w:hint="default" w:ascii="Times New Roman" w:hAnsi="Times New Roman" w:eastAsia="宋体"/>
          <w:sz w:val="24"/>
          <w:lang w:val="en-US" w:eastAsia="zh-CN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val="en-US" w:eastAsia="zh-CN"/>
        </w:rPr>
        <w:t>（二）电脑端参评</w:t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仿宋_GB2312" w:cs="仿宋_GB2312"/>
          <w:sz w:val="32"/>
          <w:szCs w:val="32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1.电脑端</w:t>
      </w:r>
      <w:r>
        <w:rPr>
          <w:rFonts w:hint="eastAsia" w:ascii="Times New Roman" w:hAnsi="Times New Roman" w:eastAsia="仿宋_GB2312" w:cs="仿宋_GB2312"/>
          <w:sz w:val="32"/>
          <w:szCs w:val="32"/>
          <w:shd w:val="clear" w:color="auto" w:fill="FFFFFF" w:themeFill="background1"/>
        </w:rPr>
        <w:t>直接点击链接：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</w:rPr>
        <w:fldChar w:fldCharType="begin"/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</w:rPr>
        <w:instrText xml:space="preserve"> HYPERLINK "http://jxpj.zjcm.edu.cn/，进入统一身份认证登录，账号与密码为统一身份认证登录账号密码，登陆后直接跳转到平台页面，如图2-1所示" </w:instrTex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</w:rPr>
        <w:fldChar w:fldCharType="separate"/>
      </w:r>
      <w:r>
        <w:rPr>
          <w:rStyle w:val="11"/>
          <w:rFonts w:hint="eastAsia" w:ascii="Times New Roman" w:hAnsi="Times New Roman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</w:rPr>
        <w:t>http://jxpj.zjcm.edu.cn/</w:t>
      </w:r>
      <w:r>
        <w:rPr>
          <w:rStyle w:val="11"/>
          <w:rFonts w:hint="eastAsia" w:ascii="Times New Roman" w:hAnsi="Times New Roman" w:eastAsia="仿宋_GB2312" w:cs="仿宋_GB2312"/>
          <w:sz w:val="32"/>
          <w:szCs w:val="32"/>
          <w:shd w:val="clear" w:color="auto" w:fill="FFFFFF" w:themeFill="background1"/>
        </w:rPr>
        <w:t>，进入统一身份认证登录，账号与密码为统一身份认证登录账号密码，登陆后直接跳转到平台页面</w:t>
      </w:r>
      <w:r>
        <w:rPr>
          <w:rStyle w:val="11"/>
          <w:rFonts w:hint="eastAsia" w:ascii="Times New Roman" w:hAnsi="Times New Roman" w:eastAsia="仿宋_GB2312" w:cs="仿宋_GB2312"/>
          <w:sz w:val="32"/>
          <w:szCs w:val="32"/>
          <w:shd w:val="clear" w:color="auto" w:fill="FFFFFF" w:themeFill="background1"/>
          <w:lang w:eastAsia="zh-CN"/>
        </w:rPr>
        <w:t>。</w:t>
      </w:r>
      <w:r>
        <w:rPr>
          <w:rFonts w:hint="eastAsia" w:ascii="Times New Roman" w:hAnsi="Times New Roman" w:eastAsia="仿宋_GB2312" w:cs="仿宋_GB2312"/>
          <w:i w:val="0"/>
          <w:iCs w:val="0"/>
          <w:caps w:val="0"/>
          <w:spacing w:val="0"/>
          <w:sz w:val="32"/>
          <w:szCs w:val="32"/>
          <w:shd w:val="clear" w:fill="FFFFFF"/>
        </w:rPr>
        <w:fldChar w:fldCharType="end"/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Times New Roman" w:hAnsi="Times New Roman" w:eastAsia="仿宋_GB2312" w:cs="仿宋_GB2312"/>
          <w:sz w:val="32"/>
          <w:szCs w:val="32"/>
        </w:rPr>
        <w:t>登录后，点击【我的任务】，查看【进行中】的问卷，点击【评价】，在【未完成】页面，对每门课程进行评价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。</w:t>
      </w:r>
    </w:p>
    <w:p>
      <w:pPr>
        <w:spacing w:line="360" w:lineRule="auto"/>
        <w:ind w:firstLine="640" w:firstLineChars="200"/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3.</w:t>
      </w:r>
      <w:r>
        <w:rPr>
          <w:rFonts w:hint="eastAsia" w:ascii="Times New Roman" w:hAnsi="Times New Roman" w:eastAsia="仿宋_GB2312" w:cs="仿宋_GB2312"/>
          <w:sz w:val="32"/>
          <w:szCs w:val="32"/>
        </w:rPr>
        <w:t>如该门课程有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多本教材</w:t>
      </w:r>
      <w:r>
        <w:rPr>
          <w:rFonts w:hint="eastAsia" w:ascii="Times New Roman" w:hAnsi="Times New Roman" w:eastAsia="仿宋_GB2312" w:cs="仿宋_GB2312"/>
          <w:sz w:val="32"/>
          <w:szCs w:val="32"/>
        </w:rPr>
        <w:t>，请对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教材</w:t>
      </w:r>
      <w:r>
        <w:rPr>
          <w:rFonts w:hint="eastAsia" w:ascii="Times New Roman" w:hAnsi="Times New Roman" w:eastAsia="仿宋_GB2312" w:cs="仿宋_GB2312"/>
          <w:sz w:val="32"/>
          <w:szCs w:val="32"/>
        </w:rPr>
        <w:t>进行逐个评价，完成同一门课程的所有</w:t>
      </w:r>
      <w:r>
        <w:rPr>
          <w:rFonts w:hint="eastAsia" w:ascii="Times New Roman" w:hAnsi="Times New Roman" w:eastAsia="仿宋_GB2312" w:cs="仿宋_GB2312"/>
          <w:sz w:val="32"/>
          <w:szCs w:val="32"/>
          <w:lang w:val="en-US" w:eastAsia="zh-CN"/>
        </w:rPr>
        <w:t>教材</w:t>
      </w:r>
      <w:r>
        <w:rPr>
          <w:rFonts w:hint="eastAsia" w:ascii="Times New Roman" w:hAnsi="Times New Roman" w:eastAsia="仿宋_GB2312" w:cs="仿宋_GB2312"/>
          <w:sz w:val="32"/>
          <w:szCs w:val="32"/>
        </w:rPr>
        <w:t>评价后，即可进行下一门课程评价</w:t>
      </w:r>
      <w:r>
        <w:rPr>
          <w:rFonts w:hint="eastAsia" w:ascii="Times New Roman" w:hAnsi="Times New Roman" w:eastAsia="仿宋_GB2312" w:cs="仿宋_GB2312"/>
          <w:sz w:val="32"/>
          <w:szCs w:val="32"/>
          <w:lang w:eastAsia="zh-CN"/>
        </w:rPr>
        <w:t>。</w:t>
      </w: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154305</wp:posOffset>
            </wp:positionV>
            <wp:extent cx="5274310" cy="2576830"/>
            <wp:effectExtent l="0" t="0" r="2540" b="444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270510</wp:posOffset>
            </wp:positionV>
            <wp:extent cx="5270500" cy="1309370"/>
            <wp:effectExtent l="0" t="0" r="6350" b="508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30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34290</wp:posOffset>
            </wp:positionV>
            <wp:extent cx="5263515" cy="1612900"/>
            <wp:effectExtent l="0" t="0" r="3810" b="6350"/>
            <wp:wrapNone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42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322580</wp:posOffset>
            </wp:positionH>
            <wp:positionV relativeFrom="paragraph">
              <wp:posOffset>-6350</wp:posOffset>
            </wp:positionV>
            <wp:extent cx="5268595" cy="1960245"/>
            <wp:effectExtent l="0" t="0" r="8255" b="1905"/>
            <wp:wrapNone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42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1106805</wp:posOffset>
            </wp:positionH>
            <wp:positionV relativeFrom="paragraph">
              <wp:posOffset>64770</wp:posOffset>
            </wp:positionV>
            <wp:extent cx="3958590" cy="2639060"/>
            <wp:effectExtent l="0" t="0" r="3810" b="889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263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ascii="Times New Roman" w:hAnsi="Times New Roman" w:eastAsia="黑体" w:cs="宋体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黑体" w:cs="宋体"/>
          <w:color w:val="333333"/>
          <w:kern w:val="0"/>
          <w:sz w:val="32"/>
          <w:szCs w:val="32"/>
        </w:rPr>
        <w:t>五、</w:t>
      </w:r>
      <w:r>
        <w:rPr>
          <w:rFonts w:hint="eastAsia" w:ascii="Times New Roman" w:hAnsi="Times New Roman" w:eastAsia="黑体" w:cs="宋体"/>
          <w:color w:val="333333"/>
          <w:kern w:val="0"/>
          <w:sz w:val="32"/>
          <w:szCs w:val="32"/>
          <w:lang w:val="en-US" w:eastAsia="zh-CN"/>
        </w:rPr>
        <w:t>注意事项</w:t>
      </w:r>
    </w:p>
    <w:p>
      <w:pPr>
        <w:widowControl/>
        <w:numPr>
          <w:ilvl w:val="0"/>
          <w:numId w:val="0"/>
        </w:numPr>
        <w:snapToGrid w:val="0"/>
        <w:spacing w:line="560" w:lineRule="exact"/>
        <w:ind w:right="26" w:rightChars="0" w:firstLine="640" w:firstLineChars="200"/>
        <w:rPr>
          <w:rFonts w:ascii="Times New Roman" w:hAnsi="Times New Roman" w:eastAsia="仿宋" w:cs="宋体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仿宋" w:cs="宋体"/>
          <w:kern w:val="0"/>
          <w:sz w:val="32"/>
          <w:szCs w:val="32"/>
          <w:u w:val="none"/>
        </w:rPr>
        <w:t>本次网上评价为匿名评价，学生信息完全屏蔽。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希望全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  <w:lang w:val="en-US" w:eastAsia="zh-CN"/>
        </w:rPr>
        <w:t>校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学生积极参评，客观评价，学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  <w:lang w:val="en-US" w:eastAsia="zh-CN"/>
        </w:rPr>
        <w:t>校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将根据评价中反映的问题做好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  <w:lang w:val="en-US" w:eastAsia="zh-CN"/>
        </w:rPr>
        <w:t>教材征订工作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。</w:t>
      </w:r>
    </w:p>
    <w:p>
      <w:pPr>
        <w:widowControl/>
        <w:snapToGrid w:val="0"/>
        <w:spacing w:line="560" w:lineRule="exact"/>
        <w:ind w:right="26" w:firstLine="640" w:firstLineChars="200"/>
        <w:rPr>
          <w:rFonts w:ascii="Times New Roman" w:hAnsi="Times New Roman" w:eastAsia="仿宋" w:cs="宋体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技术咨询：赵海霞 17723312652（8:30-16:30）</w:t>
      </w:r>
    </w:p>
    <w:p>
      <w:pPr>
        <w:widowControl/>
        <w:snapToGrid w:val="0"/>
        <w:spacing w:line="560" w:lineRule="exact"/>
        <w:ind w:right="26" w:firstLine="640" w:firstLineChars="200"/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</w:pP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人工客服：400-800-3210（</w:t>
      </w:r>
      <w:r>
        <w:rPr>
          <w:rFonts w:ascii="Times New Roman" w:hAnsi="Times New Roman" w:eastAsia="仿宋" w:cs="宋体"/>
          <w:color w:val="333333"/>
          <w:kern w:val="0"/>
          <w:sz w:val="32"/>
          <w:szCs w:val="32"/>
        </w:rPr>
        <w:t>9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:30-1</w:t>
      </w:r>
      <w:r>
        <w:rPr>
          <w:rFonts w:ascii="Times New Roman" w:hAnsi="Times New Roman" w:eastAsia="仿宋" w:cs="宋体"/>
          <w:color w:val="333333"/>
          <w:kern w:val="0"/>
          <w:sz w:val="32"/>
          <w:szCs w:val="32"/>
        </w:rPr>
        <w:t>7</w:t>
      </w:r>
      <w:r>
        <w:rPr>
          <w:rFonts w:hint="eastAsia" w:ascii="Times New Roman" w:hAnsi="Times New Roman" w:eastAsia="仿宋" w:cs="宋体"/>
          <w:color w:val="333333"/>
          <w:kern w:val="0"/>
          <w:sz w:val="32"/>
          <w:szCs w:val="32"/>
        </w:rPr>
        <w:t>:30）</w:t>
      </w:r>
    </w:p>
    <w:p>
      <w:pPr>
        <w:widowControl/>
        <w:snapToGrid w:val="0"/>
        <w:spacing w:line="560" w:lineRule="exact"/>
        <w:ind w:right="26" w:firstLine="640" w:firstLineChars="200"/>
        <w:rPr>
          <w:rFonts w:ascii="Times New Roman" w:hAnsi="Times New Roman" w:eastAsia="仿宋" w:cs="宋体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26" w:firstLine="640" w:firstLineChars="200"/>
        <w:rPr>
          <w:rFonts w:ascii="Times New Roman" w:hAnsi="Times New Roman" w:eastAsia="仿宋" w:cs="宋体"/>
          <w:kern w:val="0"/>
          <w:sz w:val="32"/>
          <w:szCs w:val="32"/>
        </w:rPr>
      </w:pPr>
    </w:p>
    <w:p>
      <w:pPr>
        <w:widowControl/>
        <w:snapToGrid w:val="0"/>
        <w:spacing w:line="560" w:lineRule="exact"/>
        <w:ind w:right="-26" w:firstLine="5120" w:firstLineChars="1600"/>
        <w:jc w:val="right"/>
        <w:rPr>
          <w:rFonts w:ascii="Times New Roman" w:hAnsi="Times New Roman" w:eastAsia="仿宋" w:cs="宋体"/>
          <w:kern w:val="0"/>
          <w:sz w:val="32"/>
          <w:szCs w:val="32"/>
        </w:rPr>
      </w:pPr>
    </w:p>
    <w:p>
      <w:pPr>
        <w:widowControl/>
        <w:shd w:val="clear" w:color="auto" w:fill="FFFFFF"/>
        <w:ind w:firstLine="5440" w:firstLineChars="1700"/>
        <w:jc w:val="right"/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教务处、教学质量监控中心</w:t>
      </w:r>
    </w:p>
    <w:p>
      <w:pPr>
        <w:widowControl/>
        <w:shd w:val="clear" w:color="auto" w:fill="FFFFFF"/>
        <w:ind w:firstLine="5440" w:firstLineChars="1700"/>
        <w:jc w:val="right"/>
        <w:rPr>
          <w:rFonts w:ascii="Times New Roman" w:hAnsi="Times New Roman" w:eastAsia="仿宋" w:cs="宋体"/>
          <w:b/>
          <w:kern w:val="0"/>
          <w:sz w:val="32"/>
          <w:szCs w:val="32"/>
        </w:rPr>
      </w:pPr>
      <w:r>
        <w:rPr>
          <w:rFonts w:ascii="Times New Roman" w:hAnsi="Times New Roman" w:eastAsia="仿宋" w:cs="宋体"/>
          <w:kern w:val="0"/>
          <w:sz w:val="32"/>
          <w:szCs w:val="32"/>
        </w:rPr>
        <w:t>20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2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年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4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月</w:t>
      </w:r>
      <w:r>
        <w:rPr>
          <w:rFonts w:hint="eastAsia" w:ascii="Times New Roman" w:hAnsi="Times New Roman" w:eastAsia="仿宋" w:cs="宋体"/>
          <w:kern w:val="0"/>
          <w:sz w:val="32"/>
          <w:szCs w:val="32"/>
          <w:lang w:val="en-US" w:eastAsia="zh-CN"/>
        </w:rPr>
        <w:t>28</w:t>
      </w:r>
      <w:r>
        <w:rPr>
          <w:rFonts w:hint="eastAsia" w:ascii="Times New Roman" w:hAnsi="Times New Roman" w:eastAsia="仿宋" w:cs="宋体"/>
          <w:kern w:val="0"/>
          <w:sz w:val="32"/>
          <w:szCs w:val="32"/>
        </w:rPr>
        <w:t>日</w:t>
      </w:r>
    </w:p>
    <w:sectPr>
      <w:pgSz w:w="11906" w:h="16838"/>
      <w:pgMar w:top="1440" w:right="1274" w:bottom="144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09F38DDC-7321-4BE5-8BE5-E1D5DCCF418D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2" w:fontKey="{5C9F9ADF-DA7D-4398-8A40-5A8DC5588A6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6F8079C1-0D28-4FB8-89DE-62FC200EB04D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7DB5CCAD-7E9A-43BF-9D15-0D32B136D2A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4E6CCCD6-6EE3-4143-8894-AEEB53069A2D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870094C0-B5CB-4186-944D-8B7F0E9DBDD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4227108"/>
    <w:multiLevelType w:val="singleLevel"/>
    <w:tmpl w:val="F422710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xOWQ4OTI1NWQxOWMxNTIwZjNhN2VmYzBjNTdhODAifQ=="/>
  </w:docVars>
  <w:rsids>
    <w:rsidRoot w:val="0055113A"/>
    <w:rsid w:val="00033FAB"/>
    <w:rsid w:val="000343BB"/>
    <w:rsid w:val="000424B1"/>
    <w:rsid w:val="00074460"/>
    <w:rsid w:val="00095482"/>
    <w:rsid w:val="000B101F"/>
    <w:rsid w:val="000D2971"/>
    <w:rsid w:val="000D3C1A"/>
    <w:rsid w:val="000F5C17"/>
    <w:rsid w:val="00130DB1"/>
    <w:rsid w:val="00145E78"/>
    <w:rsid w:val="00175B71"/>
    <w:rsid w:val="001859FD"/>
    <w:rsid w:val="001A1AC8"/>
    <w:rsid w:val="001C0C4F"/>
    <w:rsid w:val="00214E89"/>
    <w:rsid w:val="002176F0"/>
    <w:rsid w:val="00232C10"/>
    <w:rsid w:val="00261BDB"/>
    <w:rsid w:val="002666F1"/>
    <w:rsid w:val="0027323E"/>
    <w:rsid w:val="00281508"/>
    <w:rsid w:val="002A1AD8"/>
    <w:rsid w:val="002B2D95"/>
    <w:rsid w:val="002D2C0F"/>
    <w:rsid w:val="002F246E"/>
    <w:rsid w:val="002F4377"/>
    <w:rsid w:val="003138E7"/>
    <w:rsid w:val="003A4A6A"/>
    <w:rsid w:val="003C1BB8"/>
    <w:rsid w:val="003E7B09"/>
    <w:rsid w:val="00457EAC"/>
    <w:rsid w:val="0047357D"/>
    <w:rsid w:val="004C5011"/>
    <w:rsid w:val="004C7EF3"/>
    <w:rsid w:val="004F0405"/>
    <w:rsid w:val="00522419"/>
    <w:rsid w:val="0055113A"/>
    <w:rsid w:val="005814C0"/>
    <w:rsid w:val="00583967"/>
    <w:rsid w:val="0059765A"/>
    <w:rsid w:val="005E5217"/>
    <w:rsid w:val="005E6859"/>
    <w:rsid w:val="00660202"/>
    <w:rsid w:val="00662B43"/>
    <w:rsid w:val="006734A4"/>
    <w:rsid w:val="006827B8"/>
    <w:rsid w:val="00687740"/>
    <w:rsid w:val="00692E66"/>
    <w:rsid w:val="0069349C"/>
    <w:rsid w:val="006E72DB"/>
    <w:rsid w:val="007128D7"/>
    <w:rsid w:val="00732EDE"/>
    <w:rsid w:val="007621CF"/>
    <w:rsid w:val="00777E0A"/>
    <w:rsid w:val="007C3726"/>
    <w:rsid w:val="0089695E"/>
    <w:rsid w:val="008A0F18"/>
    <w:rsid w:val="008C1891"/>
    <w:rsid w:val="008C4E39"/>
    <w:rsid w:val="008E0E13"/>
    <w:rsid w:val="008E4E7A"/>
    <w:rsid w:val="0093336A"/>
    <w:rsid w:val="00942067"/>
    <w:rsid w:val="009443C2"/>
    <w:rsid w:val="009C72E7"/>
    <w:rsid w:val="009E661C"/>
    <w:rsid w:val="009E757E"/>
    <w:rsid w:val="009F290B"/>
    <w:rsid w:val="00A05415"/>
    <w:rsid w:val="00A76250"/>
    <w:rsid w:val="00A9434D"/>
    <w:rsid w:val="00AB6B8F"/>
    <w:rsid w:val="00AC0E66"/>
    <w:rsid w:val="00AD6EE7"/>
    <w:rsid w:val="00AE347F"/>
    <w:rsid w:val="00AE36B9"/>
    <w:rsid w:val="00AE5C32"/>
    <w:rsid w:val="00B14F07"/>
    <w:rsid w:val="00B24A71"/>
    <w:rsid w:val="00B32DF9"/>
    <w:rsid w:val="00B64B62"/>
    <w:rsid w:val="00BA0908"/>
    <w:rsid w:val="00BF2557"/>
    <w:rsid w:val="00C01938"/>
    <w:rsid w:val="00C215A6"/>
    <w:rsid w:val="00C2383C"/>
    <w:rsid w:val="00C2687A"/>
    <w:rsid w:val="00C62891"/>
    <w:rsid w:val="00CA0DFC"/>
    <w:rsid w:val="00CA7079"/>
    <w:rsid w:val="00CD1621"/>
    <w:rsid w:val="00CE719A"/>
    <w:rsid w:val="00D01623"/>
    <w:rsid w:val="00D124E6"/>
    <w:rsid w:val="00D165AE"/>
    <w:rsid w:val="00D36428"/>
    <w:rsid w:val="00D400A7"/>
    <w:rsid w:val="00D641EA"/>
    <w:rsid w:val="00DB5B4A"/>
    <w:rsid w:val="00DE4273"/>
    <w:rsid w:val="00DF543C"/>
    <w:rsid w:val="00E12D91"/>
    <w:rsid w:val="00E80F89"/>
    <w:rsid w:val="00E82C56"/>
    <w:rsid w:val="00EC510A"/>
    <w:rsid w:val="00F06AC4"/>
    <w:rsid w:val="00F43A67"/>
    <w:rsid w:val="00F74F15"/>
    <w:rsid w:val="00F912CC"/>
    <w:rsid w:val="00FC3728"/>
    <w:rsid w:val="00FD2660"/>
    <w:rsid w:val="00FE28D4"/>
    <w:rsid w:val="01FF4D43"/>
    <w:rsid w:val="05DB7C82"/>
    <w:rsid w:val="0742760C"/>
    <w:rsid w:val="07771C45"/>
    <w:rsid w:val="09BA034E"/>
    <w:rsid w:val="0B6D752C"/>
    <w:rsid w:val="0CFE7F7D"/>
    <w:rsid w:val="108F7C5A"/>
    <w:rsid w:val="111E331E"/>
    <w:rsid w:val="15AA4442"/>
    <w:rsid w:val="16D67BA2"/>
    <w:rsid w:val="1B100BE9"/>
    <w:rsid w:val="22C61549"/>
    <w:rsid w:val="244D0DD3"/>
    <w:rsid w:val="35213875"/>
    <w:rsid w:val="3EC11B09"/>
    <w:rsid w:val="41316A87"/>
    <w:rsid w:val="4E8C5EBC"/>
    <w:rsid w:val="532E44BD"/>
    <w:rsid w:val="57D63F74"/>
    <w:rsid w:val="592E17C4"/>
    <w:rsid w:val="5A087576"/>
    <w:rsid w:val="5A967E55"/>
    <w:rsid w:val="5F391DCA"/>
    <w:rsid w:val="69B6304D"/>
    <w:rsid w:val="6D8F3EEA"/>
    <w:rsid w:val="6EEA02C6"/>
    <w:rsid w:val="70D60821"/>
    <w:rsid w:val="74446A82"/>
    <w:rsid w:val="7503272A"/>
    <w:rsid w:val="7A7670B3"/>
    <w:rsid w:val="7D376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spacing w:before="120" w:after="120" w:line="360" w:lineRule="auto"/>
      <w:outlineLvl w:val="1"/>
    </w:pPr>
    <w:rPr>
      <w:rFonts w:ascii="Cambria" w:hAnsi="Cambria" w:eastAsia="宋体" w:cs="Times New Roman"/>
      <w:b/>
      <w:bCs/>
      <w:sz w:val="28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2"/>
    <w:autoRedefine/>
    <w:qFormat/>
    <w:uiPriority w:val="0"/>
    <w:pPr>
      <w:ind w:left="100" w:leftChars="2500"/>
    </w:p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</w:rPr>
  </w:style>
  <w:style w:type="character" w:styleId="10">
    <w:name w:val="FollowedHyperlink"/>
    <w:basedOn w:val="9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1">
    <w:name w:val="Hyperlink"/>
    <w:basedOn w:val="9"/>
    <w:autoRedefine/>
    <w:qFormat/>
    <w:uiPriority w:val="0"/>
    <w:rPr>
      <w:color w:val="000000"/>
      <w:u w:val="none"/>
    </w:rPr>
  </w:style>
  <w:style w:type="character" w:customStyle="1" w:styleId="12">
    <w:name w:val="日期 字符"/>
    <w:basedOn w:val="9"/>
    <w:link w:val="4"/>
    <w:autoRedefine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zymsxy</Company>
  <Pages>5</Pages>
  <Words>85</Words>
  <Characters>490</Characters>
  <Lines>4</Lines>
  <Paragraphs>1</Paragraphs>
  <TotalTime>4</TotalTime>
  <ScaleCrop>false</ScaleCrop>
  <LinksUpToDate>false</LinksUpToDate>
  <CharactersWithSpaces>574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2017-09-26T03:44:00Z</dcterms:created>
  <dc:creator>hetong</dc:creator>
  <cp:lastModifiedBy>一叶</cp:lastModifiedBy>
  <dcterms:modified xsi:type="dcterms:W3CDTF">2024-04-28T01:19:49Z</dcterms:modified>
  <dc:title>2015-2016学年第一学期校本部公共必修课程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9B60985A86C84081B0B7CF6906867F65</vt:lpwstr>
  </property>
</Properties>
</file>